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11" w:type="dxa"/>
        <w:tblInd w:w="-562" w:type="dxa"/>
        <w:tblCellMar>
          <w:top w:w="46" w:type="dxa"/>
          <w:left w:w="0" w:type="dxa"/>
          <w:right w:w="43" w:type="dxa"/>
        </w:tblCellMar>
        <w:tblLook w:val="04A0" w:firstRow="1" w:lastRow="0" w:firstColumn="1" w:lastColumn="0" w:noHBand="0" w:noVBand="1"/>
      </w:tblPr>
      <w:tblGrid>
        <w:gridCol w:w="516"/>
        <w:gridCol w:w="44"/>
        <w:gridCol w:w="7454"/>
        <w:gridCol w:w="1667"/>
        <w:gridCol w:w="4921"/>
        <w:gridCol w:w="12"/>
      </w:tblGrid>
      <w:tr w:rsidR="00D50ECC" w:rsidRPr="008621BD" w:rsidTr="00B32A77">
        <w:trPr>
          <w:gridAfter w:val="1"/>
          <w:wAfter w:w="10" w:type="dxa"/>
          <w:trHeight w:val="538"/>
          <w:tblHeader/>
        </w:trPr>
        <w:tc>
          <w:tcPr>
            <w:tcW w:w="14601" w:type="dxa"/>
            <w:gridSpan w:val="5"/>
            <w:tcBorders>
              <w:top w:val="single" w:sz="3"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jc w:val="center"/>
              <w:rPr>
                <w:rFonts w:ascii="Times New Roman" w:eastAsia="Times New Roman" w:hAnsi="Times New Roman"/>
                <w:lang w:eastAsia="pl-PL"/>
              </w:rPr>
            </w:pPr>
            <w:bookmarkStart w:id="0" w:name="_GoBack"/>
            <w:r w:rsidRPr="008621BD">
              <w:rPr>
                <w:rFonts w:ascii="Times New Roman" w:eastAsia="Times New Roman" w:hAnsi="Times New Roman"/>
                <w:sz w:val="21"/>
                <w:lang w:eastAsia="pl-PL"/>
              </w:rPr>
              <w:t xml:space="preserve">KRYTERIA DLA OPERACJI FINANSOWANYCH </w:t>
            </w:r>
            <w:r>
              <w:rPr>
                <w:rFonts w:ascii="Times New Roman" w:eastAsia="Times New Roman" w:hAnsi="Times New Roman"/>
                <w:sz w:val="21"/>
                <w:lang w:eastAsia="pl-PL"/>
              </w:rPr>
              <w:t xml:space="preserve">W RAMACH REGIONALNEGO PROGRAMU OPERACYJNEGO WOJEWÓDZTWA PODLASKIEGO NA LATA 2014 – 2020 </w:t>
            </w:r>
            <w:r w:rsidRPr="008621BD">
              <w:rPr>
                <w:rFonts w:ascii="Times New Roman" w:eastAsia="Times New Roman" w:hAnsi="Times New Roman"/>
                <w:sz w:val="21"/>
                <w:lang w:eastAsia="pl-PL"/>
              </w:rPr>
              <w:t>Z EUROPEJSKIEGO FUNDUSZU ROZWOJU REGIONALNEGO</w:t>
            </w:r>
          </w:p>
        </w:tc>
      </w:tr>
      <w:bookmarkEnd w:id="0"/>
      <w:tr w:rsidR="00D50ECC" w:rsidRPr="008621BD" w:rsidTr="00B32A77">
        <w:trPr>
          <w:gridAfter w:val="1"/>
          <w:wAfter w:w="10" w:type="dxa"/>
          <w:trHeight w:val="509"/>
          <w:tblHeader/>
        </w:trPr>
        <w:tc>
          <w:tcPr>
            <w:tcW w:w="14601" w:type="dxa"/>
            <w:gridSpan w:val="5"/>
            <w:tcBorders>
              <w:top w:val="single" w:sz="4" w:space="0" w:color="000000"/>
              <w:left w:val="single" w:sz="4" w:space="0" w:color="000000"/>
              <w:bottom w:val="single" w:sz="3" w:space="0" w:color="000000"/>
              <w:right w:val="single" w:sz="4" w:space="0" w:color="000000"/>
            </w:tcBorders>
            <w:shd w:val="clear" w:color="auto" w:fill="92D050"/>
            <w:vAlign w:val="center"/>
          </w:tcPr>
          <w:p w:rsidR="00D50ECC" w:rsidRPr="008621BD" w:rsidRDefault="00D50ECC" w:rsidP="00B32A77">
            <w:pPr>
              <w:spacing w:after="0" w:line="240" w:lineRule="auto"/>
              <w:rPr>
                <w:rFonts w:ascii="Times New Roman" w:eastAsia="Times New Roman" w:hAnsi="Times New Roman"/>
                <w:bCs/>
                <w:sz w:val="20"/>
                <w:szCs w:val="20"/>
                <w:lang w:eastAsia="pl-PL"/>
              </w:rPr>
            </w:pPr>
            <w:r w:rsidRPr="008621BD">
              <w:rPr>
                <w:rFonts w:ascii="Times New Roman" w:eastAsia="Times New Roman" w:hAnsi="Times New Roman"/>
                <w:b/>
                <w:bCs/>
                <w:sz w:val="20"/>
                <w:szCs w:val="20"/>
                <w:lang w:eastAsia="pl-PL"/>
              </w:rPr>
              <w:t>TYPU 8. PROJEKTY Z ZAKRESU INFRASTRUKTURY SPOŁECZNEJ/ OBIEKTÓW, W KTÓRYCH REALIZOWANE SĄ USŁUGI AKTYWIZACJI SPOŁECZNO - ZAWODOWEJ</w:t>
            </w:r>
          </w:p>
          <w:p w:rsidR="00D50ECC" w:rsidRPr="008621BD" w:rsidRDefault="00D50ECC" w:rsidP="00B32A77">
            <w:pPr>
              <w:spacing w:after="120" w:line="240" w:lineRule="auto"/>
              <w:rPr>
                <w:rFonts w:ascii="Times New Roman" w:eastAsia="Times New Roman" w:hAnsi="Times New Roman"/>
                <w:b/>
                <w:sz w:val="20"/>
                <w:szCs w:val="20"/>
                <w:lang w:eastAsia="pl-PL"/>
              </w:rPr>
            </w:pPr>
            <w:r w:rsidRPr="008621BD">
              <w:rPr>
                <w:rFonts w:ascii="Times New Roman" w:eastAsia="Times New Roman" w:hAnsi="Times New Roman"/>
                <w:b/>
                <w:sz w:val="20"/>
                <w:szCs w:val="20"/>
                <w:lang w:eastAsia="pl-PL"/>
              </w:rPr>
              <w:t>Przedsięwzięcia: 3.1.1. Infrastruktura Społeczna</w:t>
            </w:r>
          </w:p>
          <w:p w:rsidR="00D50ECC" w:rsidRPr="008621BD" w:rsidRDefault="00D50ECC" w:rsidP="00B32A77">
            <w:pPr>
              <w:spacing w:after="0" w:line="240" w:lineRule="auto"/>
              <w:rPr>
                <w:rFonts w:ascii="Times New Roman" w:eastAsia="Times New Roman" w:hAnsi="Times New Roman"/>
                <w:b/>
                <w:bCs/>
                <w:sz w:val="20"/>
                <w:szCs w:val="20"/>
                <w:lang w:eastAsia="pl-PL"/>
              </w:rPr>
            </w:pPr>
            <w:r w:rsidRPr="008621BD">
              <w:rPr>
                <w:rFonts w:ascii="Times New Roman" w:eastAsia="Times New Roman" w:hAnsi="Times New Roman"/>
                <w:b/>
                <w:sz w:val="20"/>
                <w:szCs w:val="20"/>
                <w:lang w:eastAsia="pl-PL"/>
              </w:rPr>
              <w:t xml:space="preserve">TYP 9. </w:t>
            </w:r>
            <w:r w:rsidRPr="008621BD">
              <w:rPr>
                <w:rFonts w:ascii="Times New Roman" w:eastAsia="Times New Roman" w:hAnsi="Times New Roman"/>
                <w:b/>
                <w:bCs/>
                <w:sz w:val="20"/>
                <w:szCs w:val="20"/>
                <w:lang w:eastAsia="pl-PL"/>
              </w:rPr>
              <w:t xml:space="preserve">REWITALIZACJA MAŁEJ SKALI </w:t>
            </w:r>
          </w:p>
          <w:p w:rsidR="00D50ECC" w:rsidRPr="008621BD" w:rsidRDefault="00D50ECC" w:rsidP="00B32A77">
            <w:pPr>
              <w:spacing w:after="0" w:line="240" w:lineRule="auto"/>
              <w:rPr>
                <w:rFonts w:ascii="Times New Roman" w:eastAsia="Times New Roman" w:hAnsi="Times New Roman"/>
                <w:lang w:eastAsia="pl-PL"/>
              </w:rPr>
            </w:pPr>
            <w:r w:rsidRPr="008621BD">
              <w:rPr>
                <w:rFonts w:ascii="Times New Roman" w:eastAsia="Times New Roman" w:hAnsi="Times New Roman"/>
                <w:b/>
                <w:bCs/>
                <w:sz w:val="20"/>
                <w:szCs w:val="20"/>
                <w:lang w:eastAsia="pl-PL"/>
              </w:rPr>
              <w:t>Przedsięwzięcia: 3.1.2. Rewitalizacja</w:t>
            </w:r>
          </w:p>
        </w:tc>
      </w:tr>
      <w:tr w:rsidR="00D50ECC" w:rsidRPr="008621BD" w:rsidTr="00B32A77">
        <w:trPr>
          <w:gridAfter w:val="1"/>
          <w:wAfter w:w="10" w:type="dxa"/>
          <w:trHeight w:val="277"/>
          <w:tblHeader/>
        </w:trPr>
        <w:tc>
          <w:tcPr>
            <w:tcW w:w="639" w:type="dxa"/>
            <w:gridSpan w:val="2"/>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851"/>
              <w:rPr>
                <w:rFonts w:ascii="Times New Roman" w:eastAsia="Times New Roman" w:hAnsi="Times New Roman"/>
                <w:lang w:eastAsia="pl-PL"/>
              </w:rPr>
            </w:pPr>
            <w:r w:rsidRPr="008621BD">
              <w:rPr>
                <w:rFonts w:ascii="Times New Roman" w:eastAsia="Times New Roman" w:hAnsi="Times New Roman"/>
                <w:sz w:val="21"/>
                <w:lang w:eastAsia="pl-PL"/>
              </w:rPr>
              <w:t xml:space="preserve">Lp. </w:t>
            </w:r>
          </w:p>
        </w:tc>
        <w:tc>
          <w:tcPr>
            <w:tcW w:w="7282" w:type="dxa"/>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851"/>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KRYTERIUM </w:t>
            </w:r>
          </w:p>
        </w:tc>
        <w:tc>
          <w:tcPr>
            <w:tcW w:w="1177" w:type="dxa"/>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17"/>
              <w:jc w:val="center"/>
              <w:rPr>
                <w:rFonts w:ascii="Times New Roman" w:eastAsia="Times New Roman" w:hAnsi="Times New Roman"/>
                <w:lang w:eastAsia="pl-PL"/>
              </w:rPr>
            </w:pPr>
            <w:r w:rsidRPr="008621BD">
              <w:rPr>
                <w:rFonts w:ascii="Times New Roman" w:eastAsia="Times New Roman" w:hAnsi="Times New Roman"/>
                <w:sz w:val="21"/>
                <w:lang w:eastAsia="pl-PL"/>
              </w:rPr>
              <w:t>Punktacja</w:t>
            </w:r>
          </w:p>
        </w:tc>
        <w:tc>
          <w:tcPr>
            <w:tcW w:w="5503" w:type="dxa"/>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17"/>
              <w:jc w:val="center"/>
              <w:rPr>
                <w:rFonts w:ascii="Times New Roman" w:eastAsia="Times New Roman" w:hAnsi="Times New Roman"/>
                <w:lang w:eastAsia="pl-PL"/>
              </w:rPr>
            </w:pPr>
            <w:r w:rsidRPr="008621BD">
              <w:rPr>
                <w:rFonts w:ascii="Times New Roman" w:eastAsia="Times New Roman" w:hAnsi="Times New Roman"/>
                <w:sz w:val="21"/>
                <w:lang w:eastAsia="pl-PL"/>
              </w:rPr>
              <w:t>Ocena</w:t>
            </w:r>
          </w:p>
        </w:tc>
      </w:tr>
      <w:tr w:rsidR="00D50ECC" w:rsidRPr="008621BD" w:rsidTr="00B32A77">
        <w:trPr>
          <w:gridAfter w:val="1"/>
          <w:wAfter w:w="10" w:type="dxa"/>
          <w:trHeight w:val="1082"/>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jc w:val="both"/>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A01D33" w:rsidRDefault="00D50ECC" w:rsidP="00B32A77">
            <w:pPr>
              <w:spacing w:after="0" w:line="240" w:lineRule="auto"/>
              <w:ind w:left="70" w:right="98"/>
              <w:jc w:val="both"/>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 xml:space="preserve">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W trosce o wysoką jakość składanych wniosków preferuje się, aby wnioskodawcy korzystali z doradztwa świadczonego przez pracowników biura LGD/ ekspertów zatrudnionych na zlecenie biura LGD w zakresie przygotowania wniosku oraz załączników do wniosku. Wnioski wnioskodawców nie korzystających z doradztwa przed złożeniem wniosku nie otrzymują punktów.</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sz w:val="21"/>
                <w:lang w:eastAsia="pl-PL"/>
              </w:rPr>
              <w:t xml:space="preserve">Doradztwo LGD </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0-5 </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 xml:space="preserve">Wnioskodawca korzystał z doradztwa biura LGD </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 xml:space="preserve">Wnioskodawca nie korzystał z doradztwa biura LGD </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787"/>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Wpływ operacji na grupy defaw</w:t>
            </w:r>
            <w:r>
              <w:rPr>
                <w:rFonts w:ascii="Times New Roman" w:eastAsia="Times New Roman" w:hAnsi="Times New Roman"/>
                <w:sz w:val="20"/>
                <w:szCs w:val="20"/>
                <w:lang w:eastAsia="pl-PL"/>
              </w:rPr>
              <w:t>oryzowane zidentyfikowane w LSR</w:t>
            </w:r>
            <w:r w:rsidRPr="008621BD">
              <w:rPr>
                <w:rFonts w:ascii="Times New Roman" w:eastAsia="Times New Roman" w:hAnsi="Times New Roman"/>
                <w:sz w:val="20"/>
                <w:szCs w:val="20"/>
                <w:lang w:eastAsia="pl-PL"/>
              </w:rPr>
              <w:t>. Preferuje się operacje realizowane przez wnioskodawców będących przedstawicielami grup defaworyzowanych lub operacje oddziaływujące pozytywnie na grupę defaworyzowaną. W przypadku stwierdzenia, iż wnioskodawca nie jest przedstawicielem grupy defaworyzowanej lub operacja nie będzie pozytywnie oddziaływać na żadną z grup defaworyzowa</w:t>
            </w:r>
            <w:r>
              <w:rPr>
                <w:rFonts w:ascii="Times New Roman" w:eastAsia="Times New Roman" w:hAnsi="Times New Roman"/>
                <w:sz w:val="20"/>
                <w:szCs w:val="20"/>
                <w:lang w:eastAsia="pl-PL"/>
              </w:rPr>
              <w:t>nych nie przyznaje się punktów.</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Oddziaływanie operacji na grupę defaworyzowaną zidentyfikowaną w LSR</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w:t>
            </w:r>
            <w:r>
              <w:rPr>
                <w:rFonts w:ascii="Times New Roman" w:eastAsia="Times New Roman" w:hAnsi="Times New Roman"/>
                <w:sz w:val="21"/>
                <w:lang w:eastAsia="pl-PL"/>
              </w:rPr>
              <w:t>8</w:t>
            </w: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Operacja jest realizowana przez wnioskodawcę będącym przedstawicielem grupy defaworyzowanej.</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0"/>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Operacja oddziaływuje pozytywnie na dwie grupy defaworyzowane.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39"/>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Operacja oddziaływuje pozytywnie na jedną grupę defaworyzowaną.</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sz w:val="21"/>
                <w:lang w:eastAsia="pl-PL"/>
              </w:rPr>
            </w:pPr>
          </w:p>
        </w:tc>
      </w:tr>
      <w:tr w:rsidR="00D50ECC" w:rsidRPr="008621BD" w:rsidTr="00B32A77">
        <w:trPr>
          <w:gridAfter w:val="1"/>
          <w:wAfter w:w="10" w:type="dxa"/>
          <w:trHeight w:val="539"/>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Operacja nie jest realizowana przez wnioskodawcę będącym przedstawicielem grupy defaworyzowanej </w:t>
            </w:r>
            <w:r>
              <w:rPr>
                <w:rFonts w:ascii="Times New Roman" w:eastAsia="Times New Roman" w:hAnsi="Times New Roman"/>
                <w:sz w:val="20"/>
                <w:szCs w:val="20"/>
                <w:lang w:eastAsia="pl-PL"/>
              </w:rPr>
              <w:t>i</w:t>
            </w:r>
            <w:r w:rsidRPr="008621BD">
              <w:rPr>
                <w:rFonts w:ascii="Times New Roman" w:eastAsia="Times New Roman" w:hAnsi="Times New Roman"/>
                <w:sz w:val="20"/>
                <w:szCs w:val="20"/>
                <w:lang w:eastAsia="pl-PL"/>
              </w:rPr>
              <w:t xml:space="preserve"> operacja nie oddziaływuje pozytywnie na żadną z grup defaworyzowanych.</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Default="00D50ECC" w:rsidP="00B32A77">
            <w:pPr>
              <w:spacing w:after="0" w:line="259" w:lineRule="auto"/>
              <w:ind w:left="70"/>
              <w:rPr>
                <w:rFonts w:ascii="Times New Roman" w:eastAsia="Times New Roman" w:hAnsi="Times New Roman"/>
                <w:sz w:val="21"/>
                <w:lang w:eastAsia="pl-PL"/>
              </w:rPr>
            </w:pPr>
            <w:r w:rsidRPr="008621BD">
              <w:rPr>
                <w:rFonts w:ascii="Times New Roman" w:eastAsia="Times New Roman" w:hAnsi="Times New Roman"/>
                <w:sz w:val="21"/>
                <w:lang w:eastAsia="pl-PL"/>
              </w:rPr>
              <w:t xml:space="preserve"> </w:t>
            </w:r>
          </w:p>
          <w:p w:rsidR="00D50ECC" w:rsidRDefault="00D50ECC" w:rsidP="00B32A77">
            <w:pPr>
              <w:spacing w:after="0" w:line="259" w:lineRule="auto"/>
              <w:ind w:left="70"/>
              <w:rPr>
                <w:rFonts w:ascii="Times New Roman" w:eastAsia="Times New Roman" w:hAnsi="Times New Roman"/>
                <w:lang w:eastAsia="pl-PL"/>
              </w:rPr>
            </w:pPr>
          </w:p>
          <w:p w:rsidR="00453974" w:rsidRPr="008621BD" w:rsidRDefault="00453974"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Premiowane będą operacje, których miejsce (lokalizacja operacji lub adres prowadzenia działalności gospodarczej lub w przypadku projektów finansowanych z Europejskiego Funduszu Społecznego miejsce zamieszkania odbiorców projektu) realizacji znajduje się w miejscowości liczącej do 5 tys. mieszkańców (wg stanu na dzień 31.12.2013 r.).  W projektach realizowanych w kilku miejscowościach a obejmujących mieszkańców przynajmniej jednej miejscowości liczącej do 5 tys. mieszkańców, punkty są  przyznane. Operacje realizowane wyłącznie poza miejscowościami do 5 tys. mieszkańców nie otrzymają pkt.</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b/>
                <w:bCs/>
                <w:sz w:val="20"/>
                <w:szCs w:val="20"/>
                <w:lang w:eastAsia="pl-PL"/>
              </w:rPr>
              <w:t>Miejsce realizacji operacji/ projektu:</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0-2</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realizowana jest w miejscowości do 5 tys. mieszkańców włącznie.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2</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311"/>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realizowana jest w miejscowości zamieszkałej przez więcej niż 5 tys. mieszkańców.</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40"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Default="00D50ECC" w:rsidP="00B32A77">
            <w:pPr>
              <w:spacing w:after="0" w:line="259" w:lineRule="auto"/>
              <w:ind w:left="70"/>
              <w:rPr>
                <w:rFonts w:ascii="Times New Roman" w:eastAsia="Times New Roman" w:hAnsi="Times New Roman"/>
                <w:sz w:val="21"/>
                <w:lang w:eastAsia="pl-PL"/>
              </w:rPr>
            </w:pPr>
            <w:r w:rsidRPr="008621BD">
              <w:rPr>
                <w:rFonts w:ascii="Times New Roman" w:eastAsia="Times New Roman" w:hAnsi="Times New Roman"/>
                <w:sz w:val="21"/>
                <w:lang w:eastAsia="pl-PL"/>
              </w:rPr>
              <w:t xml:space="preserve"> </w:t>
            </w:r>
          </w:p>
          <w:p w:rsidR="00453974" w:rsidRDefault="00453974" w:rsidP="00B32A77">
            <w:pPr>
              <w:spacing w:after="0" w:line="259" w:lineRule="auto"/>
              <w:ind w:left="70"/>
              <w:rPr>
                <w:rFonts w:ascii="Times New Roman" w:eastAsia="Times New Roman" w:hAnsi="Times New Roman"/>
                <w:sz w:val="21"/>
                <w:lang w:eastAsia="pl-PL"/>
              </w:rPr>
            </w:pPr>
          </w:p>
          <w:p w:rsidR="00453974" w:rsidRPr="008621BD" w:rsidRDefault="00453974"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281"/>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 przypadku nie stwierdzenia innowacyjnego charakteru operacji nie przyznaje się punktów.</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Innowacyjność operacji</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0-6</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Innowacyjność operacji na poziomie obszaru L</w:t>
            </w:r>
            <w:r>
              <w:rPr>
                <w:rFonts w:ascii="Times New Roman" w:eastAsia="Times New Roman" w:hAnsi="Times New Roman"/>
                <w:sz w:val="20"/>
                <w:szCs w:val="20"/>
                <w:lang w:eastAsia="pl-PL"/>
              </w:rPr>
              <w:t>SR</w:t>
            </w:r>
            <w:r w:rsidRPr="008621BD">
              <w:rPr>
                <w:rFonts w:ascii="Times New Roman" w:eastAsia="Times New Roman" w:hAnsi="Times New Roman"/>
                <w:sz w:val="20"/>
                <w:szCs w:val="20"/>
                <w:lang w:eastAsia="pl-PL"/>
              </w:rPr>
              <w:t>.</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6 </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0"/>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Innowacyjność operacji na poziomie gminy członkowskiej LGD miejsca realizacji operacji.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3 </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39"/>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Innowacyjność operacji na poziomie mniejszym niż obszar gminy członkowskiej LGD, miejsca realizacji operacji lub brak innowacyjności.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0 </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726"/>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Spełnienie kryterium:</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lub aktywizujących, które mogą mieć pozytywny wpływ na wizerunek turystyczny miejscowości; rozwinięciu działalności okołoturystycznej.</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Wpływ operacji na poprawę atrakcyjności turystycznej obszaru:</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0-5</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pozytywnie wpływa na poprawę atrakcyjności turystycznej obszaru.</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ma neutralny wpływ na poprawę atrakcyjności turystycznej obszaru.</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Preferuje się projekty, w których wnioskodawcy deklarują wkład własny na poziomie wyższym niż minimalny określony w RPO WP. Celem jest promowanie projektów angażujących środki inne niż środki RPO WP. W ramach kryterium oceniana będzie wielkość zaangażowanych środków własnych wnioskodawcy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 realizację projektu.</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Wkład własny wnioskodawcy:</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0-4</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Deklarowany wkład własny jest wyższy od minimalnego o ponad 5 p.p.</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4</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Deklarowany wkład własny jest wyższy od minimalnego o max 5 p.p. (włącznie).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2</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Wnioskodawca deklaruje wkład własny na minimalnym wymaganym.</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sz w:val="21"/>
                <w:lang w:eastAsia="pl-PL"/>
              </w:rPr>
            </w:pP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Spełnienie kryterium:</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Preferuje się operacje realizowane w pełni lub częściowo z udziałem partnerów społecznych lub organizacji pozarządowych. "Partnerzy społeczni” to termin szeroko używany w całej Europie w odniesieniu do przedstawicieli pracodawców i pracowników (organizacji pracodawców i związków zawodowych). Partnerem społecznym może być również związek wyznaniowy (parafia). Organizacja pozarządowa (NGO) to organizacja założona przez obywateli z własnej inicjatywy, która nie działa dla osiągnięcia zysku i jest zorganizowana na szczeblu lokalnym, krajowym lub międzynarodowym.</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sz w:val="21"/>
                <w:szCs w:val="21"/>
                <w:lang w:eastAsia="pl-PL"/>
              </w:rPr>
            </w:pPr>
            <w:r w:rsidRPr="008621BD">
              <w:rPr>
                <w:rFonts w:ascii="Times New Roman" w:eastAsia="Times New Roman" w:hAnsi="Times New Roman"/>
                <w:b/>
                <w:sz w:val="21"/>
                <w:szCs w:val="21"/>
                <w:lang w:eastAsia="pl-PL"/>
              </w:rPr>
              <w:t>Realizacja operacji przez partnerów społecznych lub organizacje pozarządowe:</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sz w:val="21"/>
                <w:szCs w:val="21"/>
                <w:lang w:eastAsia="pl-PL"/>
              </w:rPr>
            </w:pPr>
            <w:r w:rsidRPr="008621BD">
              <w:rPr>
                <w:rFonts w:ascii="Times New Roman" w:eastAsia="Times New Roman" w:hAnsi="Times New Roman"/>
                <w:sz w:val="21"/>
                <w:szCs w:val="21"/>
                <w:lang w:eastAsia="pl-PL"/>
              </w:rPr>
              <w:t>0-5</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realizowana jest w pełni lub częściowo przez partnerów społecznych lub organizacje pozarządowe.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311"/>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nie jest realizowana w pełni lub częściowo przez partnerów społecznych lub organizacje pozarządowe.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Default="00D50ECC" w:rsidP="00B32A77">
            <w:pPr>
              <w:spacing w:after="0" w:line="259" w:lineRule="auto"/>
              <w:ind w:left="70"/>
              <w:rPr>
                <w:rFonts w:ascii="Times New Roman" w:eastAsia="Times New Roman" w:hAnsi="Times New Roman"/>
                <w:sz w:val="21"/>
                <w:szCs w:val="21"/>
                <w:lang w:eastAsia="pl-PL"/>
              </w:rPr>
            </w:pPr>
            <w:r w:rsidRPr="008621BD">
              <w:rPr>
                <w:rFonts w:ascii="Times New Roman" w:eastAsia="Times New Roman" w:hAnsi="Times New Roman"/>
                <w:sz w:val="21"/>
                <w:szCs w:val="21"/>
                <w:lang w:eastAsia="pl-PL"/>
              </w:rPr>
              <w:t>Uzasadnienie:</w:t>
            </w:r>
          </w:p>
          <w:p w:rsidR="00453974" w:rsidRDefault="00453974" w:rsidP="00B32A77">
            <w:pPr>
              <w:spacing w:after="0" w:line="259" w:lineRule="auto"/>
              <w:ind w:left="70"/>
              <w:rPr>
                <w:rFonts w:ascii="Times New Roman" w:eastAsia="Times New Roman" w:hAnsi="Times New Roman"/>
                <w:sz w:val="21"/>
                <w:szCs w:val="21"/>
                <w:lang w:eastAsia="pl-PL"/>
              </w:rPr>
            </w:pPr>
          </w:p>
          <w:p w:rsidR="00453974" w:rsidRPr="008621BD" w:rsidRDefault="00453974" w:rsidP="00B32A77">
            <w:pPr>
              <w:spacing w:after="0" w:line="259" w:lineRule="auto"/>
              <w:ind w:left="70"/>
              <w:rPr>
                <w:rFonts w:ascii="Times New Roman" w:eastAsia="Times New Roman" w:hAnsi="Times New Roman"/>
                <w:sz w:val="21"/>
                <w:szCs w:val="21"/>
                <w:lang w:eastAsia="pl-PL"/>
              </w:rPr>
            </w:pP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Preferuje się projekty, które wykazują komplementarność co najmniej z jednym innym projektem. Zgodnie z definicją komplementarności (przyjętą przez Komitet Koordynacyjny Narodowe Strategiczne Ramy Odniesienia na lata 2007 - 2013 w ramach Uchwały nr 64 w sprawie definicji „komplementarności"), komplementarność polityk, strategii, programów, działań, projektów to ich dopełnianie się prowadzące do realizacji określonego celu. Do uznania działań lub projektów za komplementarne nie jest wystarczające spełnienie przesłanki takiego samego lub wspólnego celu, gdyż ten warunek może być wypełniony w odniesieniu do projektów konkurujących ze sobą. Warunkiem koniecznym do określenia projektów jako komplementarne jest ich uzupełniający się charakter, wykluczający powielanie się działań. W ramach LSR można wskazać komplementarność międzyprogramową, terytorialną bądź sektorową projektów LSR z innymi projektami realizowanymi ze środków europejskich (np.  </w:t>
            </w:r>
            <w:r w:rsidRPr="008621BD">
              <w:rPr>
                <w:rFonts w:ascii="Times New Roman" w:eastAsia="Times New Roman" w:hAnsi="Times New Roman"/>
                <w:sz w:val="20"/>
                <w:szCs w:val="20"/>
                <w:lang w:eastAsia="pl-PL"/>
              </w:rPr>
              <w:lastRenderedPageBreak/>
              <w:t>PROW 2014-2020,  RPO 2014-2020, programy współpracy transgranicznej) lub innych (np. FIO, Programy MKiDN), które zostały zrealizowane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Komplementarność projektu z innymi projektami</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0-6</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Wnioskodawca wykazał komplementarność z innymi projektami.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6</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Wnioskodawca nie wykazał komplementarności z innymi projektami.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726"/>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Spełnienie kryterium:</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Preferuje się operacje, do których dołączono niezbędne pozwolenia i inne dokumenty już na etapie składania wniosku. Zmniejsza to ryzyko, że Wnioskodawca na dalszym etapie realizacji operacji nie dopełni formalności lub zrezygnuje z realizacji operacji, co jest niekorzystne dla LGD. W przypadku, gdy inwestycja nie wymaga zgłoszenia robót budowlanych lub pozwolenia na budowę wnioskodawca załącza wniosek wraz z informacją właściwego organu potwierdzający fakt niewymagania w/w dokumentów. W takim przypadku wnioskodawca otrzymuje 4 punkty.</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Stan gotowości technicznej projektu do realizacji:</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0-4</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Uzyskano pozwolenie na budowę lub dokonano zgłoszenia robót budowlanych, w stosunku co do których organ nie wniósł sprzeciwu. Przedłożono dokument potwierdzający brak konieczności uzyskania pozwolenia lub dokonania zgłoszenia robót budowlanych.</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4</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Brak wniosku o wydanie pozwolenia na budowę/zgłoszenia robót budowlanych.</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Default="00D50ECC" w:rsidP="00B32A77">
            <w:pPr>
              <w:spacing w:after="0" w:line="259" w:lineRule="auto"/>
              <w:ind w:left="70"/>
              <w:rPr>
                <w:rFonts w:ascii="Times New Roman" w:eastAsia="Times New Roman" w:hAnsi="Times New Roman"/>
                <w:sz w:val="21"/>
                <w:lang w:eastAsia="pl-PL"/>
              </w:rPr>
            </w:pPr>
            <w:r w:rsidRPr="008621BD">
              <w:rPr>
                <w:rFonts w:ascii="Times New Roman" w:eastAsia="Times New Roman" w:hAnsi="Times New Roman"/>
                <w:sz w:val="21"/>
                <w:lang w:eastAsia="pl-PL"/>
              </w:rPr>
              <w:t xml:space="preserve"> </w:t>
            </w:r>
          </w:p>
          <w:p w:rsidR="00453974" w:rsidRPr="008621BD" w:rsidRDefault="00453974" w:rsidP="00B32A77">
            <w:pPr>
              <w:spacing w:after="0" w:line="259" w:lineRule="auto"/>
              <w:ind w:left="70"/>
              <w:rPr>
                <w:rFonts w:ascii="Times New Roman" w:eastAsia="Times New Roman" w:hAnsi="Times New Roman"/>
                <w:lang w:eastAsia="pl-PL"/>
              </w:rPr>
            </w:pPr>
          </w:p>
        </w:tc>
      </w:tr>
      <w:tr w:rsidR="00D50ECC" w:rsidRPr="00021340" w:rsidTr="00B32A77">
        <w:trPr>
          <w:trHeight w:val="383"/>
        </w:trPr>
        <w:tc>
          <w:tcPr>
            <w:tcW w:w="14611" w:type="dxa"/>
            <w:gridSpan w:val="6"/>
            <w:tcBorders>
              <w:top w:val="nil"/>
              <w:left w:val="single" w:sz="4" w:space="0" w:color="000000"/>
              <w:bottom w:val="nil"/>
              <w:right w:val="single" w:sz="4" w:space="0" w:color="000000"/>
            </w:tcBorders>
            <w:shd w:val="clear" w:color="auto" w:fill="92D050"/>
          </w:tcPr>
          <w:p w:rsidR="00D50ECC" w:rsidRPr="00021340" w:rsidRDefault="00D50ECC" w:rsidP="00B32A77">
            <w:pPr>
              <w:spacing w:after="0" w:line="259" w:lineRule="auto"/>
              <w:ind w:left="70"/>
              <w:rPr>
                <w:rFonts w:ascii="Times New Roman" w:eastAsia="Times New Roman" w:hAnsi="Times New Roman"/>
                <w:b/>
                <w:sz w:val="21"/>
                <w:lang w:eastAsia="pl-PL"/>
              </w:rPr>
            </w:pPr>
            <w:r w:rsidRPr="00021340">
              <w:rPr>
                <w:rFonts w:ascii="Times New Roman" w:eastAsia="Times New Roman" w:hAnsi="Times New Roman"/>
                <w:b/>
                <w:sz w:val="21"/>
                <w:lang w:eastAsia="pl-PL"/>
              </w:rPr>
              <w:lastRenderedPageBreak/>
              <w:t>WYNIK OCENY OPERACJI WG LOKALNYCH KRYTERIÓW WYBORU</w:t>
            </w:r>
          </w:p>
        </w:tc>
      </w:tr>
      <w:tr w:rsidR="00D50ECC" w:rsidRPr="00021340" w:rsidTr="00B32A77">
        <w:trPr>
          <w:trHeight w:val="662"/>
        </w:trPr>
        <w:tc>
          <w:tcPr>
            <w:tcW w:w="590" w:type="dxa"/>
            <w:tcBorders>
              <w:top w:val="nil"/>
              <w:left w:val="single" w:sz="4" w:space="0" w:color="000000"/>
              <w:bottom w:val="single" w:sz="4" w:space="0" w:color="auto"/>
              <w:right w:val="single" w:sz="4" w:space="0" w:color="000000"/>
            </w:tcBorders>
            <w:shd w:val="clear" w:color="auto" w:fill="92D050"/>
          </w:tcPr>
          <w:p w:rsidR="00D50ECC" w:rsidRPr="00021340" w:rsidRDefault="00D50ECC" w:rsidP="00B32A77">
            <w:pPr>
              <w:spacing w:after="0" w:line="259" w:lineRule="auto"/>
              <w:ind w:left="-851"/>
              <w:rPr>
                <w:rFonts w:ascii="Times New Roman" w:eastAsia="Times New Roman" w:hAnsi="Times New Roman"/>
                <w:lang w:eastAsia="pl-PL"/>
              </w:rPr>
            </w:pPr>
          </w:p>
        </w:tc>
        <w:tc>
          <w:tcPr>
            <w:tcW w:w="14021"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D50ECC" w:rsidRPr="00021340" w:rsidRDefault="00B64FB5" w:rsidP="00B32A77">
            <w:pPr>
              <w:spacing w:after="0" w:line="259" w:lineRule="auto"/>
              <w:ind w:left="70"/>
              <w:jc w:val="center"/>
              <w:rPr>
                <w:rFonts w:ascii="Times New Roman" w:eastAsia="Times New Roman" w:hAnsi="Times New Roman"/>
                <w:sz w:val="21"/>
                <w:lang w:eastAsia="pl-PL"/>
              </w:rPr>
            </w:pPr>
            <w:r>
              <w:rPr>
                <w:rFonts w:ascii="Times New Roman" w:eastAsia="Times New Roman" w:hAnsi="Times New Roman"/>
                <w:noProof/>
                <w:sz w:val="21"/>
                <w:lang w:eastAsia="pl-PL"/>
              </w:rPr>
              <mc:AlternateContent>
                <mc:Choice Requires="wps">
                  <w:drawing>
                    <wp:anchor distT="0" distB="0" distL="114300" distR="114300" simplePos="0" relativeHeight="251658240" behindDoc="0" locked="0" layoutInCell="1" allowOverlap="1">
                      <wp:simplePos x="0" y="0"/>
                      <wp:positionH relativeFrom="column">
                        <wp:posOffset>4911090</wp:posOffset>
                      </wp:positionH>
                      <wp:positionV relativeFrom="paragraph">
                        <wp:posOffset>20955</wp:posOffset>
                      </wp:positionV>
                      <wp:extent cx="381000" cy="266700"/>
                      <wp:effectExtent l="9525" t="12700"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E872E" id="Rectangle 2" o:spid="_x0000_s1026" style="position:absolute;margin-left:386.7pt;margin-top:1.65pt;width:30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"/>
                  </w:pict>
                </mc:Fallback>
              </mc:AlternateContent>
            </w:r>
            <w:r w:rsidR="00D50ECC" w:rsidRPr="00021340">
              <w:rPr>
                <w:rFonts w:ascii="Times New Roman" w:eastAsia="Times New Roman" w:hAnsi="Times New Roman"/>
                <w:b/>
                <w:sz w:val="21"/>
                <w:lang w:eastAsia="pl-PL"/>
              </w:rPr>
              <w:t>Operacja uzyskała łącznie                   pkt</w:t>
            </w:r>
            <w:r w:rsidR="00D50ECC">
              <w:rPr>
                <w:rFonts w:ascii="Times New Roman" w:eastAsia="Times New Roman" w:hAnsi="Times New Roman"/>
                <w:sz w:val="21"/>
                <w:lang w:eastAsia="pl-PL"/>
              </w:rPr>
              <w:t>.</w:t>
            </w:r>
          </w:p>
        </w:tc>
      </w:tr>
      <w:tr w:rsidR="00D50ECC" w:rsidTr="00B32A77">
        <w:trPr>
          <w:trHeight w:val="1140"/>
        </w:trPr>
        <w:tc>
          <w:tcPr>
            <w:tcW w:w="14611" w:type="dxa"/>
            <w:gridSpan w:val="6"/>
            <w:tcBorders>
              <w:top w:val="single" w:sz="4" w:space="0" w:color="auto"/>
              <w:left w:val="single" w:sz="4" w:space="0" w:color="auto"/>
              <w:bottom w:val="single" w:sz="4" w:space="0" w:color="auto"/>
              <w:right w:val="single" w:sz="4" w:space="0" w:color="auto"/>
            </w:tcBorders>
            <w:shd w:val="clear" w:color="auto" w:fill="92D050"/>
          </w:tcPr>
          <w:tbl>
            <w:tblPr>
              <w:tblW w:w="14596" w:type="dxa"/>
              <w:tblCellMar>
                <w:top w:w="45" w:type="dxa"/>
                <w:left w:w="66" w:type="dxa"/>
                <w:right w:w="12" w:type="dxa"/>
              </w:tblCellMar>
              <w:tblLook w:val="04A0" w:firstRow="1" w:lastRow="0" w:firstColumn="1" w:lastColumn="0" w:noHBand="0" w:noVBand="1"/>
            </w:tblPr>
            <w:tblGrid>
              <w:gridCol w:w="3964"/>
              <w:gridCol w:w="10632"/>
            </w:tblGrid>
            <w:tr w:rsidR="00D50ECC" w:rsidRPr="003551F8" w:rsidTr="00B32A77">
              <w:trPr>
                <w:trHeight w:val="333"/>
              </w:trPr>
              <w:tc>
                <w:tcPr>
                  <w:tcW w:w="1459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50ECC" w:rsidRPr="00021340" w:rsidRDefault="00D50ECC" w:rsidP="00B32A77">
                  <w:pPr>
                    <w:spacing w:after="0" w:line="259" w:lineRule="auto"/>
                    <w:ind w:left="-851" w:right="53"/>
                    <w:jc w:val="center"/>
                    <w:rPr>
                      <w:rFonts w:ascii="Times New Roman" w:hAnsi="Times New Roman"/>
                      <w:b/>
                    </w:rPr>
                  </w:pPr>
                  <w:r w:rsidRPr="00021340">
                    <w:rPr>
                      <w:rFonts w:ascii="Times New Roman" w:hAnsi="Times New Roman"/>
                      <w:b/>
                      <w:sz w:val="21"/>
                    </w:rPr>
                    <w:t>Oceniający (Członek Rady)</w:t>
                  </w:r>
                </w:p>
              </w:tc>
            </w:tr>
            <w:tr w:rsidR="00D50ECC" w:rsidRPr="003551F8" w:rsidTr="00B32A77">
              <w:trPr>
                <w:trHeight w:val="650"/>
              </w:trPr>
              <w:tc>
                <w:tcPr>
                  <w:tcW w:w="396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50ECC" w:rsidRPr="00021340" w:rsidRDefault="00D50ECC" w:rsidP="00B32A77">
                  <w:pPr>
                    <w:spacing w:after="0" w:line="259" w:lineRule="auto"/>
                    <w:rPr>
                      <w:rFonts w:ascii="Times New Roman" w:hAnsi="Times New Roman"/>
                    </w:rPr>
                  </w:pPr>
                  <w:r w:rsidRPr="00021340">
                    <w:rPr>
                      <w:rFonts w:ascii="Times New Roman" w:hAnsi="Times New Roman"/>
                      <w:sz w:val="21"/>
                    </w:rPr>
                    <w:t xml:space="preserve">Imię i nazwisko Członka Rady </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50ECC" w:rsidRPr="00021340" w:rsidRDefault="00D50ECC" w:rsidP="00B32A77">
                  <w:pPr>
                    <w:spacing w:after="0" w:line="259" w:lineRule="auto"/>
                    <w:ind w:left="-851"/>
                    <w:rPr>
                      <w:rFonts w:ascii="Times New Roman" w:hAnsi="Times New Roman"/>
                    </w:rPr>
                  </w:pPr>
                  <w:r w:rsidRPr="00021340">
                    <w:rPr>
                      <w:rFonts w:ascii="Times New Roman" w:hAnsi="Times New Roman"/>
                      <w:sz w:val="21"/>
                    </w:rPr>
                    <w:t xml:space="preserve">  </w:t>
                  </w:r>
                </w:p>
              </w:tc>
            </w:tr>
            <w:tr w:rsidR="00D50ECC" w:rsidRPr="003551F8" w:rsidTr="00B32A77">
              <w:trPr>
                <w:trHeight w:val="660"/>
              </w:trPr>
              <w:tc>
                <w:tcPr>
                  <w:tcW w:w="3964" w:type="dxa"/>
                  <w:tcBorders>
                    <w:top w:val="single" w:sz="4" w:space="0" w:color="000000"/>
                    <w:left w:val="single" w:sz="4" w:space="0" w:color="000000"/>
                    <w:bottom w:val="single" w:sz="3" w:space="0" w:color="000000"/>
                    <w:right w:val="single" w:sz="4" w:space="0" w:color="000000"/>
                  </w:tcBorders>
                  <w:shd w:val="clear" w:color="auto" w:fill="F2F2F2"/>
                  <w:vAlign w:val="center"/>
                </w:tcPr>
                <w:p w:rsidR="00D50ECC" w:rsidRPr="00021340" w:rsidRDefault="00D50ECC" w:rsidP="00B32A77">
                  <w:pPr>
                    <w:spacing w:after="0" w:line="259" w:lineRule="auto"/>
                    <w:rPr>
                      <w:rFonts w:ascii="Times New Roman" w:hAnsi="Times New Roman"/>
                    </w:rPr>
                  </w:pPr>
                  <w:r w:rsidRPr="00021340">
                    <w:rPr>
                      <w:rFonts w:ascii="Times New Roman" w:hAnsi="Times New Roman"/>
                      <w:sz w:val="21"/>
                    </w:rPr>
                    <w:t xml:space="preserve">Data i podpis </w:t>
                  </w:r>
                </w:p>
              </w:tc>
              <w:tc>
                <w:tcPr>
                  <w:tcW w:w="10632" w:type="dxa"/>
                  <w:tcBorders>
                    <w:top w:val="single" w:sz="4" w:space="0" w:color="000000"/>
                    <w:left w:val="single" w:sz="4" w:space="0" w:color="000000"/>
                    <w:bottom w:val="single" w:sz="3" w:space="0" w:color="000000"/>
                    <w:right w:val="single" w:sz="4" w:space="0" w:color="000000"/>
                  </w:tcBorders>
                  <w:shd w:val="clear" w:color="auto" w:fill="F2F2F2"/>
                </w:tcPr>
                <w:p w:rsidR="00D50ECC" w:rsidRPr="00021340" w:rsidRDefault="00D50ECC" w:rsidP="00B32A77">
                  <w:pPr>
                    <w:spacing w:after="0" w:line="259" w:lineRule="auto"/>
                    <w:ind w:left="-851"/>
                    <w:rPr>
                      <w:rFonts w:ascii="Times New Roman" w:hAnsi="Times New Roman"/>
                    </w:rPr>
                  </w:pPr>
                  <w:r w:rsidRPr="00021340">
                    <w:rPr>
                      <w:rFonts w:ascii="Times New Roman" w:hAnsi="Times New Roman"/>
                      <w:sz w:val="21"/>
                    </w:rPr>
                    <w:t xml:space="preserve">  </w:t>
                  </w:r>
                </w:p>
                <w:p w:rsidR="00D50ECC" w:rsidRPr="00021340" w:rsidRDefault="00D50ECC" w:rsidP="00B32A77">
                  <w:pPr>
                    <w:spacing w:after="0" w:line="259" w:lineRule="auto"/>
                    <w:ind w:left="-851"/>
                    <w:rPr>
                      <w:rFonts w:ascii="Times New Roman" w:hAnsi="Times New Roman"/>
                    </w:rPr>
                  </w:pPr>
                  <w:r w:rsidRPr="00021340">
                    <w:rPr>
                      <w:rFonts w:ascii="Times New Roman" w:hAnsi="Times New Roman"/>
                      <w:sz w:val="21"/>
                    </w:rPr>
                    <w:t xml:space="preserve"> </w:t>
                  </w:r>
                </w:p>
              </w:tc>
            </w:tr>
          </w:tbl>
          <w:p w:rsidR="00D50ECC" w:rsidRDefault="00D50ECC" w:rsidP="00B32A77">
            <w:pPr>
              <w:spacing w:after="0"/>
            </w:pPr>
          </w:p>
        </w:tc>
      </w:tr>
    </w:tbl>
    <w:p w:rsidR="002923C9" w:rsidRDefault="002923C9"/>
    <w:sectPr w:rsidR="002923C9" w:rsidSect="00D50ECC">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A09" w:rsidRDefault="004E6A09" w:rsidP="00D50ECC">
      <w:pPr>
        <w:spacing w:after="0" w:line="240" w:lineRule="auto"/>
      </w:pPr>
      <w:r>
        <w:separator/>
      </w:r>
    </w:p>
  </w:endnote>
  <w:endnote w:type="continuationSeparator" w:id="0">
    <w:p w:rsidR="004E6A09" w:rsidRDefault="004E6A09" w:rsidP="00D5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A09" w:rsidRDefault="004E6A09" w:rsidP="00D50ECC">
      <w:pPr>
        <w:spacing w:after="0" w:line="240" w:lineRule="auto"/>
      </w:pPr>
      <w:r>
        <w:separator/>
      </w:r>
    </w:p>
  </w:footnote>
  <w:footnote w:type="continuationSeparator" w:id="0">
    <w:p w:rsidR="004E6A09" w:rsidRDefault="004E6A09" w:rsidP="00D50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CC" w:rsidRDefault="00B64FB5">
    <w:pPr>
      <w:pStyle w:val="Nagwek"/>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7310755</wp:posOffset>
              </wp:positionH>
              <wp:positionV relativeFrom="paragraph">
                <wp:posOffset>-78105</wp:posOffset>
              </wp:positionV>
              <wp:extent cx="1552575" cy="33337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63DE2" id="Rectangle 3" o:spid="_x0000_s1026" style="position:absolute;margin-left:575.65pt;margin-top:-6.15pt;width:122.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gHQIAADw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"/>
          </w:pict>
        </mc:Fallback>
      </mc:AlternateContent>
    </w:r>
    <w:r w:rsidR="00D50EC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10DDC"/>
    <w:multiLevelType w:val="hybridMultilevel"/>
    <w:tmpl w:val="4AAE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CC"/>
    <w:rsid w:val="0011730F"/>
    <w:rsid w:val="001B097F"/>
    <w:rsid w:val="002923C9"/>
    <w:rsid w:val="00453974"/>
    <w:rsid w:val="004E6A09"/>
    <w:rsid w:val="00B64FB5"/>
    <w:rsid w:val="00D50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283468-394F-428C-B2DF-12B68E69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0EC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D50E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50ECC"/>
    <w:rPr>
      <w:rFonts w:ascii="Calibri" w:eastAsia="Calibri" w:hAnsi="Calibri" w:cs="Times New Roman"/>
    </w:rPr>
  </w:style>
  <w:style w:type="paragraph" w:styleId="Stopka">
    <w:name w:val="footer"/>
    <w:basedOn w:val="Normalny"/>
    <w:link w:val="StopkaZnak"/>
    <w:uiPriority w:val="99"/>
    <w:semiHidden/>
    <w:unhideWhenUsed/>
    <w:rsid w:val="00D50EC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50E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F3E9A-284F-46A6-A59B-EE0E88B2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1390</Words>
  <Characters>8340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Stowarzyszenie</dc:creator>
  <cp:keywords/>
  <dc:description/>
  <cp:lastModifiedBy>Stowarzyszenie</cp:lastModifiedBy>
  <cp:revision>2</cp:revision>
  <dcterms:created xsi:type="dcterms:W3CDTF">2020-09-18T09:30:00Z</dcterms:created>
  <dcterms:modified xsi:type="dcterms:W3CDTF">2020-09-18T09:30:00Z</dcterms:modified>
</cp:coreProperties>
</file>